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673A66">
      <w:pPr>
        <w:spacing w:line="400" w:lineRule="exact"/>
        <w:rPr>
          <w:rFonts w:hint="eastAsia" w:ascii="方正仿宋_GBK" w:hAnsi="方正仿宋_GBK" w:eastAsia="方正仿宋_GBK" w:cs="方正仿宋_GBK"/>
          <w:color w:val="000000"/>
          <w:spacing w:val="-6"/>
          <w:sz w:val="32"/>
          <w:szCs w:val="32"/>
          <w:highlight w:val="none"/>
        </w:rPr>
      </w:pPr>
      <w:r>
        <w:rPr>
          <w:rFonts w:hint="eastAsia" w:ascii="方正仿宋_GBK" w:hAnsi="方正仿宋_GBK" w:eastAsia="方正仿宋_GBK" w:cs="方正仿宋_GBK"/>
          <w:color w:val="000000"/>
          <w:spacing w:val="-6"/>
          <w:sz w:val="32"/>
          <w:szCs w:val="32"/>
          <w:highlight w:val="none"/>
        </w:rPr>
        <w:t>附件</w:t>
      </w:r>
      <w:r>
        <w:rPr>
          <w:rFonts w:hint="default" w:ascii="Times New Roman" w:hAnsi="Times New Roman" w:eastAsia="方正仿宋_GBK" w:cs="Times New Roman"/>
          <w:color w:val="000000"/>
          <w:spacing w:val="-6"/>
          <w:sz w:val="32"/>
          <w:szCs w:val="32"/>
          <w:highlight w:val="none"/>
        </w:rPr>
        <w:t>2</w:t>
      </w:r>
      <w:r>
        <w:rPr>
          <w:rFonts w:hint="eastAsia" w:ascii="方正仿宋_GBK" w:hAnsi="方正仿宋_GBK" w:eastAsia="方正仿宋_GBK" w:cs="方正仿宋_GBK"/>
          <w:color w:val="000000"/>
          <w:spacing w:val="-6"/>
          <w:sz w:val="32"/>
          <w:szCs w:val="32"/>
          <w:highlight w:val="none"/>
        </w:rPr>
        <w:t>：</w:t>
      </w:r>
    </w:p>
    <w:p w14:paraId="662DB4D3">
      <w:pPr>
        <w:pStyle w:val="2"/>
        <w:rPr>
          <w:rFonts w:hint="eastAsia" w:ascii="方正小标宋简体" w:hAnsi="方正小标宋简体" w:eastAsia="方正小标宋简体" w:cs="方正小标宋简体"/>
          <w:b w:val="0"/>
          <w:bCs/>
          <w:sz w:val="44"/>
          <w:szCs w:val="44"/>
          <w:highlight w:val="none"/>
        </w:rPr>
      </w:pPr>
      <w:bookmarkStart w:id="0" w:name="_Toc4512"/>
      <w:bookmarkStart w:id="1" w:name="_Toc4650"/>
      <w:bookmarkStart w:id="2" w:name="_Toc25128"/>
      <w:r>
        <w:rPr>
          <w:rFonts w:hint="eastAsia" w:ascii="方正小标宋简体" w:hAnsi="方正小标宋简体" w:eastAsia="方正小标宋简体" w:cs="方正小标宋简体"/>
          <w:b w:val="0"/>
          <w:bCs/>
          <w:sz w:val="44"/>
          <w:szCs w:val="44"/>
          <w:highlight w:val="none"/>
        </w:rPr>
        <w:t>相关问题说明</w:t>
      </w:r>
      <w:bookmarkEnd w:id="0"/>
      <w:bookmarkEnd w:id="1"/>
      <w:bookmarkEnd w:id="2"/>
    </w:p>
    <w:p w14:paraId="13026CA6">
      <w:pPr>
        <w:spacing w:line="500" w:lineRule="exact"/>
        <w:jc w:val="center"/>
        <w:rPr>
          <w:rFonts w:hint="eastAsia" w:ascii="仿宋" w:hAnsi="仿宋" w:eastAsia="仿宋" w:cs="方正小标宋_GBK"/>
          <w:bCs/>
          <w:color w:val="000000"/>
          <w:sz w:val="44"/>
          <w:szCs w:val="44"/>
          <w:highlight w:val="none"/>
        </w:rPr>
      </w:pPr>
    </w:p>
    <w:p w14:paraId="0450597B">
      <w:pPr>
        <w:spacing w:line="560" w:lineRule="exact"/>
        <w:ind w:firstLine="640" w:firstLineChars="200"/>
        <w:outlineLvl w:val="0"/>
        <w:rPr>
          <w:rFonts w:hint="eastAsia" w:ascii="黑体" w:hAnsi="黑体" w:eastAsia="黑体" w:cs="黑体"/>
          <w:b w:val="0"/>
          <w:bCs/>
          <w:sz w:val="32"/>
          <w:szCs w:val="32"/>
          <w:highlight w:val="none"/>
        </w:rPr>
      </w:pPr>
      <w:bookmarkStart w:id="3" w:name="_Toc29413"/>
      <w:bookmarkStart w:id="4" w:name="_Toc28202"/>
      <w:bookmarkStart w:id="5" w:name="_Toc24111"/>
      <w:bookmarkStart w:id="12" w:name="_GoBack"/>
      <w:r>
        <w:rPr>
          <w:rFonts w:hint="eastAsia" w:ascii="黑体" w:hAnsi="黑体" w:eastAsia="黑体" w:cs="黑体"/>
          <w:b w:val="0"/>
          <w:bCs/>
          <w:sz w:val="32"/>
          <w:szCs w:val="32"/>
          <w:highlight w:val="none"/>
        </w:rPr>
        <w:t>一、个人考核有关说明</w:t>
      </w:r>
      <w:bookmarkEnd w:id="3"/>
      <w:bookmarkEnd w:id="4"/>
      <w:bookmarkEnd w:id="5"/>
    </w:p>
    <w:p w14:paraId="5854F61A">
      <w:pPr>
        <w:snapToGrid w:val="0"/>
        <w:spacing w:line="560" w:lineRule="exact"/>
        <w:ind w:firstLine="616" w:firstLineChars="200"/>
        <w:rPr>
          <w:rFonts w:hint="eastAsia" w:ascii="方正仿宋_GBK" w:hAnsi="方正仿宋_GBK" w:eastAsia="方正仿宋_GBK" w:cs="方正仿宋_GBK"/>
          <w:sz w:val="32"/>
          <w:szCs w:val="32"/>
          <w:highlight w:val="none"/>
        </w:rPr>
      </w:pPr>
      <w:r>
        <w:rPr>
          <w:rFonts w:hint="eastAsia" w:ascii="Times New Roman" w:hAnsi="Times New Roman" w:eastAsia="方正仿宋_GBK" w:cs="Times New Roman"/>
          <w:color w:val="000000"/>
          <w:spacing w:val="-6"/>
          <w:sz w:val="32"/>
          <w:szCs w:val="32"/>
          <w:highlight w:val="none"/>
        </w:rPr>
        <w:t>1</w:t>
      </w:r>
      <w:r>
        <w:rPr>
          <w:rFonts w:hint="eastAsia" w:ascii="方正仿宋_GBK" w:hAnsi="方正仿宋_GBK" w:eastAsia="方正仿宋_GBK" w:cs="方正仿宋_GBK"/>
          <w:sz w:val="32"/>
          <w:szCs w:val="32"/>
          <w:highlight w:val="none"/>
        </w:rPr>
        <w:t>.全校教职工年度考核分成四类人员进行：分别为处级干部（含退出现职中组织员、纪检员，组织部负责）、一线专职辅导员（学生处负责）、专技主体岗人员和非专技主体岗人员（含科级及以下管理岗、专技辅助岗和工勤岗人员，各二级单位组织实施，人事处牵头负责）。</w:t>
      </w:r>
    </w:p>
    <w:p w14:paraId="462ABD85">
      <w:pPr>
        <w:snapToGrid w:val="0"/>
        <w:spacing w:line="560" w:lineRule="exact"/>
        <w:ind w:firstLine="616" w:firstLineChars="200"/>
        <w:rPr>
          <w:rFonts w:hint="eastAsia" w:ascii="方正仿宋_GBK" w:hAnsi="方正仿宋_GBK" w:eastAsia="方正仿宋_GBK" w:cs="方正仿宋_GBK"/>
          <w:sz w:val="32"/>
          <w:szCs w:val="32"/>
          <w:highlight w:val="none"/>
        </w:rPr>
      </w:pPr>
      <w:r>
        <w:rPr>
          <w:rFonts w:hint="eastAsia" w:ascii="Times New Roman" w:hAnsi="Times New Roman" w:eastAsia="方正仿宋_GBK" w:cs="Times New Roman"/>
          <w:color w:val="000000"/>
          <w:spacing w:val="-6"/>
          <w:sz w:val="32"/>
          <w:szCs w:val="32"/>
          <w:highlight w:val="none"/>
        </w:rPr>
        <w:t>2.</w:t>
      </w:r>
      <w:r>
        <w:rPr>
          <w:rFonts w:hint="eastAsia" w:ascii="方正仿宋_GBK" w:hAnsi="方正仿宋_GBK" w:eastAsia="方正仿宋_GBK" w:cs="方正仿宋_GBK"/>
          <w:sz w:val="32"/>
          <w:szCs w:val="32"/>
          <w:highlight w:val="none"/>
        </w:rPr>
        <w:t>师德考核：根据《中共安徽省委教育工委 安徽省教育厅关于印发&lt;安徽省高校教师师德考核办法（试行）&gt;的通知》（皖教工委</w:t>
      </w:r>
      <w:r>
        <w:rPr>
          <w:rFonts w:hint="eastAsia" w:ascii="Times New Roman" w:hAnsi="Times New Roman" w:eastAsia="方正仿宋_GBK" w:cs="Times New Roman"/>
          <w:color w:val="000000"/>
          <w:spacing w:val="-6"/>
          <w:sz w:val="32"/>
          <w:szCs w:val="32"/>
          <w:highlight w:val="none"/>
        </w:rPr>
        <w:t>〔2023〕122号</w:t>
      </w:r>
      <w:r>
        <w:rPr>
          <w:rFonts w:hint="eastAsia" w:ascii="方正仿宋_GBK" w:hAnsi="方正仿宋_GBK" w:eastAsia="方正仿宋_GBK" w:cs="方正仿宋_GBK"/>
          <w:sz w:val="32"/>
          <w:szCs w:val="32"/>
          <w:highlight w:val="none"/>
        </w:rPr>
        <w:t>）》精神，师德考核实行“一票否决制”，考核结果分为优秀、合格、基本合格和不合格四个等次。师德考核未确定为优秀档次的，年度考核不得评定为优秀。师德考核不合格的，年度考核应评定为不合格。师德考核与年度考核同步进行，上述四类人员由归口单位负责实施。</w:t>
      </w:r>
    </w:p>
    <w:p w14:paraId="04F79C70">
      <w:pPr>
        <w:snapToGrid w:val="0"/>
        <w:spacing w:line="560" w:lineRule="exact"/>
        <w:ind w:firstLine="616" w:firstLineChars="200"/>
        <w:rPr>
          <w:rFonts w:hint="eastAsia" w:ascii="方正仿宋_GBK" w:hAnsi="方正仿宋_GBK" w:eastAsia="方正仿宋_GBK" w:cs="方正仿宋_GBK"/>
          <w:sz w:val="32"/>
          <w:szCs w:val="32"/>
          <w:highlight w:val="none"/>
        </w:rPr>
      </w:pPr>
      <w:r>
        <w:rPr>
          <w:rFonts w:hint="eastAsia" w:ascii="Times New Roman" w:hAnsi="Times New Roman" w:eastAsia="方正仿宋_GBK" w:cs="Times New Roman"/>
          <w:color w:val="000000"/>
          <w:spacing w:val="-6"/>
          <w:sz w:val="32"/>
          <w:szCs w:val="32"/>
          <w:highlight w:val="none"/>
        </w:rPr>
        <w:t>3</w:t>
      </w:r>
      <w:r>
        <w:rPr>
          <w:rFonts w:hint="eastAsia" w:ascii="方正仿宋_GBK" w:hAnsi="方正仿宋_GBK" w:eastAsia="方正仿宋_GBK" w:cs="方正仿宋_GBK"/>
          <w:sz w:val="32"/>
          <w:szCs w:val="32"/>
          <w:highlight w:val="none"/>
        </w:rPr>
        <w:t>.个人教研（科研）分使用：年度考核只能使用当年教研（科研）分；上一个聘期的教研（科研）分清零，绩效考核只能使用本聘期内教研（科研）分，当年教研（科研）分不足的据实核算，聘期考核合格后，可申请使用聘期内其他年度结余教研（科研）分重新结算。</w:t>
      </w:r>
    </w:p>
    <w:p w14:paraId="4883A4E2">
      <w:pPr>
        <w:snapToGrid w:val="0"/>
        <w:spacing w:line="560" w:lineRule="exact"/>
        <w:ind w:firstLine="616" w:firstLineChars="200"/>
        <w:rPr>
          <w:rFonts w:hint="eastAsia" w:ascii="方正仿宋_GBK" w:hAnsi="方正仿宋_GBK" w:eastAsia="方正仿宋_GBK" w:cs="方正仿宋_GBK"/>
          <w:sz w:val="32"/>
          <w:szCs w:val="32"/>
          <w:highlight w:val="none"/>
        </w:rPr>
      </w:pPr>
      <w:r>
        <w:rPr>
          <w:rFonts w:hint="eastAsia" w:ascii="Times New Roman" w:hAnsi="Times New Roman" w:eastAsia="方正仿宋_GBK" w:cs="Times New Roman"/>
          <w:color w:val="000000"/>
          <w:spacing w:val="-6"/>
          <w:sz w:val="32"/>
          <w:szCs w:val="32"/>
          <w:highlight w:val="none"/>
        </w:rPr>
        <w:t>4</w:t>
      </w:r>
      <w:r>
        <w:rPr>
          <w:rFonts w:hint="eastAsia" w:ascii="方正仿宋_GBK" w:hAnsi="方正仿宋_GBK" w:eastAsia="方正仿宋_GBK" w:cs="方正仿宋_GBK"/>
          <w:sz w:val="32"/>
          <w:szCs w:val="32"/>
          <w:highlight w:val="none"/>
        </w:rPr>
        <w:t>.具有专业技术辅助系列职称（不具有博士学位）从事一线教学人员，参照专业技术主体岗中教学科研型岗位职责及其额定工作任务进行考核。</w:t>
      </w:r>
    </w:p>
    <w:bookmarkEnd w:id="12"/>
    <w:p w14:paraId="04A0BB53">
      <w:pPr>
        <w:spacing w:line="560" w:lineRule="exact"/>
        <w:ind w:firstLine="640" w:firstLineChars="200"/>
        <w:outlineLvl w:val="0"/>
        <w:rPr>
          <w:rFonts w:hint="eastAsia" w:ascii="黑体" w:hAnsi="黑体" w:eastAsia="黑体" w:cs="黑体"/>
          <w:b w:val="0"/>
          <w:bCs/>
          <w:sz w:val="32"/>
          <w:szCs w:val="32"/>
          <w:highlight w:val="none"/>
        </w:rPr>
      </w:pPr>
      <w:bookmarkStart w:id="6" w:name="_Toc7610"/>
      <w:bookmarkStart w:id="7" w:name="_Toc24102"/>
      <w:bookmarkStart w:id="8" w:name="_Toc28220"/>
      <w:r>
        <w:rPr>
          <w:rFonts w:hint="eastAsia" w:ascii="黑体" w:hAnsi="黑体" w:eastAsia="黑体" w:cs="黑体"/>
          <w:b w:val="0"/>
          <w:bCs/>
          <w:sz w:val="32"/>
          <w:szCs w:val="32"/>
          <w:highlight w:val="none"/>
          <w:lang w:val="en-US" w:eastAsia="zh-CN"/>
        </w:rPr>
        <w:t>二</w:t>
      </w:r>
      <w:r>
        <w:rPr>
          <w:rFonts w:hint="eastAsia" w:ascii="黑体" w:hAnsi="黑体" w:eastAsia="黑体" w:cs="黑体"/>
          <w:b w:val="0"/>
          <w:bCs/>
          <w:sz w:val="32"/>
          <w:szCs w:val="32"/>
          <w:highlight w:val="none"/>
        </w:rPr>
        <w:t>、“优秀”等次比例划分</w:t>
      </w:r>
      <w:bookmarkEnd w:id="6"/>
      <w:bookmarkEnd w:id="7"/>
      <w:bookmarkEnd w:id="8"/>
    </w:p>
    <w:p w14:paraId="478285B4">
      <w:pPr>
        <w:spacing w:line="560" w:lineRule="exact"/>
        <w:ind w:firstLine="616" w:firstLineChars="200"/>
        <w:jc w:val="left"/>
        <w:rPr>
          <w:rFonts w:hint="eastAsia" w:ascii="方正仿宋_GBK" w:hAnsi="方正仿宋_GBK" w:eastAsia="方正仿宋_GBK" w:cs="方正仿宋_GBK"/>
          <w:sz w:val="32"/>
          <w:szCs w:val="32"/>
          <w:highlight w:val="none"/>
        </w:rPr>
      </w:pPr>
      <w:r>
        <w:rPr>
          <w:rFonts w:hint="eastAsia" w:ascii="Times New Roman" w:hAnsi="Times New Roman" w:eastAsia="方正仿宋_GBK" w:cs="Times New Roman"/>
          <w:color w:val="000000"/>
          <w:spacing w:val="-6"/>
          <w:sz w:val="32"/>
          <w:szCs w:val="32"/>
          <w:highlight w:val="none"/>
        </w:rPr>
        <w:t>1</w:t>
      </w:r>
      <w:r>
        <w:rPr>
          <w:rFonts w:hint="eastAsia" w:ascii="方正仿宋_GBK" w:hAnsi="方正仿宋_GBK" w:eastAsia="方正仿宋_GBK" w:cs="方正仿宋_GBK"/>
          <w:sz w:val="32"/>
          <w:szCs w:val="32"/>
          <w:highlight w:val="none"/>
        </w:rPr>
        <w:t>.各单位个人考核“优秀”等次比例为</w:t>
      </w:r>
      <w:r>
        <w:rPr>
          <w:rFonts w:hint="eastAsia" w:ascii="Times New Roman" w:hAnsi="Times New Roman" w:eastAsia="方正仿宋_GBK" w:cs="Times New Roman"/>
          <w:color w:val="000000"/>
          <w:spacing w:val="-6"/>
          <w:sz w:val="32"/>
          <w:szCs w:val="32"/>
          <w:highlight w:val="none"/>
        </w:rPr>
        <w:t>20%</w:t>
      </w:r>
      <w:r>
        <w:rPr>
          <w:rFonts w:hint="eastAsia" w:ascii="方正仿宋_GBK" w:hAnsi="方正仿宋_GBK" w:eastAsia="方正仿宋_GBK" w:cs="方正仿宋_GBK"/>
          <w:sz w:val="32"/>
          <w:szCs w:val="32"/>
          <w:highlight w:val="none"/>
        </w:rPr>
        <w:t>。</w:t>
      </w:r>
    </w:p>
    <w:p w14:paraId="23D72364">
      <w:pPr>
        <w:spacing w:line="560" w:lineRule="exact"/>
        <w:ind w:firstLine="616" w:firstLineChars="200"/>
        <w:jc w:val="left"/>
        <w:rPr>
          <w:rFonts w:hint="eastAsia" w:ascii="方正仿宋_GBK" w:hAnsi="方正仿宋_GBK" w:eastAsia="方正仿宋_GBK" w:cs="方正仿宋_GBK"/>
          <w:sz w:val="32"/>
          <w:szCs w:val="32"/>
          <w:highlight w:val="none"/>
        </w:rPr>
      </w:pPr>
      <w:r>
        <w:rPr>
          <w:rFonts w:hint="eastAsia" w:ascii="Times New Roman" w:hAnsi="Times New Roman" w:eastAsia="方正仿宋_GBK" w:cs="Times New Roman"/>
          <w:color w:val="000000"/>
          <w:spacing w:val="-6"/>
          <w:sz w:val="32"/>
          <w:szCs w:val="32"/>
          <w:highlight w:val="none"/>
        </w:rPr>
        <w:t>2.</w:t>
      </w:r>
      <w:r>
        <w:rPr>
          <w:rFonts w:hint="eastAsia" w:ascii="方正仿宋_GBK" w:hAnsi="方正仿宋_GBK" w:eastAsia="方正仿宋_GBK" w:cs="方正仿宋_GBK"/>
          <w:sz w:val="32"/>
          <w:szCs w:val="32"/>
          <w:highlight w:val="none"/>
        </w:rPr>
        <w:t>处级干部“优秀”指标按正职与副职分开计算；党政单位和教学单位的处级干部“优秀”指标分开计算；教学单位的院长和书记“优秀”指标分开计算，退出现职处级干部按退出现职前岗位归入相应类别进行计算。</w:t>
      </w:r>
    </w:p>
    <w:p w14:paraId="0E60D5F5">
      <w:pPr>
        <w:spacing w:line="560" w:lineRule="exact"/>
        <w:ind w:firstLine="640" w:firstLineChars="200"/>
        <w:outlineLvl w:val="0"/>
        <w:rPr>
          <w:rFonts w:hint="eastAsia" w:ascii="黑体" w:hAnsi="黑体" w:eastAsia="黑体" w:cs="黑体"/>
          <w:b w:val="0"/>
          <w:bCs/>
          <w:sz w:val="32"/>
          <w:szCs w:val="32"/>
          <w:highlight w:val="none"/>
        </w:rPr>
      </w:pPr>
      <w:bookmarkStart w:id="9" w:name="_Toc4305"/>
      <w:bookmarkStart w:id="10" w:name="_Toc2585"/>
      <w:bookmarkStart w:id="11" w:name="_Toc31565"/>
      <w:r>
        <w:rPr>
          <w:rFonts w:hint="eastAsia" w:ascii="黑体" w:hAnsi="黑体" w:eastAsia="黑体" w:cs="黑体"/>
          <w:b w:val="0"/>
          <w:bCs/>
          <w:sz w:val="32"/>
          <w:szCs w:val="32"/>
          <w:highlight w:val="none"/>
          <w:lang w:val="en-US" w:eastAsia="zh-CN"/>
        </w:rPr>
        <w:t>三</w:t>
      </w:r>
      <w:r>
        <w:rPr>
          <w:rFonts w:hint="eastAsia" w:ascii="黑体" w:hAnsi="黑体" w:eastAsia="黑体" w:cs="黑体"/>
          <w:b w:val="0"/>
          <w:bCs/>
          <w:sz w:val="32"/>
          <w:szCs w:val="32"/>
          <w:highlight w:val="none"/>
        </w:rPr>
        <w:t>、处级干部考核相关说明</w:t>
      </w:r>
      <w:bookmarkEnd w:id="9"/>
      <w:bookmarkEnd w:id="10"/>
      <w:bookmarkEnd w:id="11"/>
    </w:p>
    <w:p w14:paraId="5C4C8C0F">
      <w:pPr>
        <w:spacing w:line="560" w:lineRule="exact"/>
        <w:ind w:firstLine="616" w:firstLineChars="200"/>
        <w:jc w:val="left"/>
        <w:rPr>
          <w:rFonts w:hint="eastAsia" w:ascii="方正仿宋_GBK" w:hAnsi="方正仿宋_GBK" w:eastAsia="方正仿宋_GBK" w:cs="方正仿宋_GBK"/>
          <w:sz w:val="32"/>
          <w:szCs w:val="32"/>
          <w:highlight w:val="none"/>
        </w:rPr>
      </w:pPr>
      <w:r>
        <w:rPr>
          <w:rFonts w:hint="eastAsia" w:ascii="Times New Roman" w:hAnsi="Times New Roman" w:eastAsia="方正仿宋_GBK" w:cs="Times New Roman"/>
          <w:color w:val="000000"/>
          <w:spacing w:val="-6"/>
          <w:sz w:val="32"/>
          <w:szCs w:val="32"/>
          <w:highlight w:val="none"/>
        </w:rPr>
        <w:t>1.</w:t>
      </w:r>
      <w:r>
        <w:rPr>
          <w:rFonts w:hint="eastAsia" w:ascii="方正仿宋_GBK" w:hAnsi="方正仿宋_GBK" w:eastAsia="方正仿宋_GBK" w:cs="方正仿宋_GBK"/>
          <w:sz w:val="32"/>
          <w:szCs w:val="32"/>
          <w:highlight w:val="none"/>
          <w:lang w:val="en-US" w:eastAsia="zh-CN"/>
        </w:rPr>
        <w:t>陈乃东</w:t>
      </w:r>
      <w:r>
        <w:rPr>
          <w:rFonts w:hint="eastAsia" w:ascii="方正仿宋_GBK" w:hAnsi="方正仿宋_GBK" w:eastAsia="方正仿宋_GBK" w:cs="方正仿宋_GBK"/>
          <w:sz w:val="32"/>
          <w:szCs w:val="32"/>
          <w:highlight w:val="none"/>
        </w:rPr>
        <w:t>按照教学单位院长类别考核；汪承勇、</w:t>
      </w:r>
      <w:r>
        <w:rPr>
          <w:rFonts w:hint="eastAsia" w:ascii="方正仿宋_GBK" w:hAnsi="方正仿宋_GBK" w:eastAsia="方正仿宋_GBK" w:cs="方正仿宋_GBK"/>
          <w:sz w:val="32"/>
          <w:szCs w:val="32"/>
          <w:highlight w:val="none"/>
          <w:lang w:val="en-US" w:eastAsia="zh-CN"/>
        </w:rPr>
        <w:t>覃爱民</w:t>
      </w:r>
      <w:r>
        <w:rPr>
          <w:rFonts w:hint="eastAsia" w:ascii="方正仿宋_GBK" w:hAnsi="方正仿宋_GBK" w:eastAsia="方正仿宋_GBK" w:cs="方正仿宋_GBK"/>
          <w:sz w:val="32"/>
          <w:szCs w:val="32"/>
          <w:highlight w:val="none"/>
        </w:rPr>
        <w:t>参加挂职所在单位考核；</w:t>
      </w:r>
      <w:r>
        <w:rPr>
          <w:rFonts w:hint="eastAsia" w:ascii="Times New Roman" w:hAnsi="Times New Roman" w:eastAsia="方正仿宋_GBK" w:cs="Times New Roman"/>
          <w:color w:val="000000"/>
          <w:spacing w:val="-6"/>
          <w:sz w:val="32"/>
          <w:szCs w:val="32"/>
          <w:highlight w:val="none"/>
        </w:rPr>
        <w:t>202</w:t>
      </w:r>
      <w:r>
        <w:rPr>
          <w:rFonts w:hint="eastAsia" w:eastAsia="方正仿宋_GBK" w:cs="Times New Roman"/>
          <w:color w:val="000000"/>
          <w:spacing w:val="-6"/>
          <w:sz w:val="32"/>
          <w:szCs w:val="32"/>
          <w:highlight w:val="none"/>
          <w:lang w:val="en-US" w:eastAsia="zh-CN"/>
        </w:rPr>
        <w:t>5</w:t>
      </w:r>
      <w:r>
        <w:rPr>
          <w:rFonts w:hint="eastAsia" w:ascii="方正仿宋_GBK" w:hAnsi="方正仿宋_GBK" w:eastAsia="方正仿宋_GBK" w:cs="方正仿宋_GBK"/>
          <w:sz w:val="32"/>
          <w:szCs w:val="32"/>
          <w:highlight w:val="none"/>
        </w:rPr>
        <w:t>年交流任职的领导干部，在现工作单位进行考核；新提拔任职的领导干部，按照现任职务进行考核；主持工作的干部按照所在类别正职考核。</w:t>
      </w:r>
    </w:p>
    <w:p w14:paraId="7890B364">
      <w:pPr>
        <w:keepNext w:val="0"/>
        <w:keepLines w:val="0"/>
        <w:pageBreakBefore w:val="0"/>
        <w:widowControl w:val="0"/>
        <w:kinsoku/>
        <w:wordWrap/>
        <w:overflowPunct/>
        <w:topLinePunct w:val="0"/>
        <w:autoSpaceDE/>
        <w:autoSpaceDN/>
        <w:bidi w:val="0"/>
        <w:adjustRightInd w:val="0"/>
        <w:snapToGrid/>
        <w:spacing w:line="600" w:lineRule="exact"/>
        <w:ind w:firstLine="616" w:firstLineChars="200"/>
        <w:textAlignment w:val="auto"/>
        <w:rPr>
          <w:rFonts w:hint="eastAsia"/>
          <w:highlight w:val="none"/>
        </w:rPr>
      </w:pPr>
      <w:r>
        <w:rPr>
          <w:rFonts w:hint="eastAsia" w:ascii="Times New Roman" w:hAnsi="Times New Roman" w:eastAsia="方正仿宋_GBK" w:cs="Times New Roman"/>
          <w:color w:val="000000"/>
          <w:spacing w:val="-6"/>
          <w:sz w:val="32"/>
          <w:szCs w:val="32"/>
          <w:highlight w:val="none"/>
        </w:rPr>
        <w:t>2.</w:t>
      </w:r>
      <w:r>
        <w:rPr>
          <w:rFonts w:hint="eastAsia" w:ascii="方正仿宋_GBK" w:hAnsi="方正仿宋_GBK" w:eastAsia="方正仿宋_GBK" w:cs="方正仿宋_GBK"/>
          <w:sz w:val="32"/>
          <w:szCs w:val="32"/>
          <w:highlight w:val="none"/>
        </w:rPr>
        <w:t>退出现职中从事组织员、纪检员的处级干部，与现职处级干部同步考核，</w:t>
      </w:r>
      <w:r>
        <w:rPr>
          <w:rFonts w:hint="eastAsia" w:ascii="方正仿宋_GBK" w:hAnsi="方正仿宋_GBK" w:eastAsia="方正仿宋_GBK" w:cs="方正仿宋_GBK"/>
          <w:spacing w:val="-6"/>
          <w:sz w:val="32"/>
          <w:szCs w:val="32"/>
          <w:highlight w:val="none"/>
        </w:rPr>
        <w:t>主要考核党建工作情况</w:t>
      </w:r>
      <w:r>
        <w:rPr>
          <w:rFonts w:hint="eastAsia" w:ascii="方正仿宋_GBK" w:hAnsi="方正仿宋_GBK" w:eastAsia="方正仿宋_GBK" w:cs="方正仿宋_GBK"/>
          <w:sz w:val="32"/>
          <w:szCs w:val="32"/>
          <w:highlight w:val="none"/>
        </w:rPr>
        <w:t>；从事教学督导员工作的，由教务处负责考核。</w:t>
      </w:r>
    </w:p>
    <w:sectPr>
      <w:headerReference r:id="rId3" w:type="default"/>
      <w:footerReference r:id="rId4"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595FA4">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481D176">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pVFaAyAgAAZAQAAA4AAABkcnMvZTJvRG9jLnhtbK1UzY7TMBC+I/EO&#10;lu80aRd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lUVoDICAABkBAAADgAAAAAAAAABACAAAAAfAQAAZHJzL2Uyb0RvYy54bWxQSwUG&#10;AAAAAAYABgBZAQAAwwUAAAAA&#10;">
              <v:fill on="f" focussize="0,0"/>
              <v:stroke on="f" weight="0.5pt"/>
              <v:imagedata o:title=""/>
              <o:lock v:ext="edit" aspectratio="f"/>
              <v:textbox inset="0mm,0mm,0mm,0mm" style="mso-fit-shape-to-text:t;">
                <w:txbxContent>
                  <w:p w14:paraId="3481D176">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9F9111">
    <w:pPr>
      <w:pStyle w:val="7"/>
      <w:pBdr>
        <w:bottom w:val="none" w:color="auto" w:sz="0" w:space="0"/>
      </w:pBdr>
    </w:pPr>
  </w:p>
</w:hd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