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D2CB4">
      <w:pPr>
        <w:widowControl/>
        <w:jc w:val="left"/>
        <w:rPr>
          <w:rFonts w:hint="eastAsia" w:ascii="仿宋" w:hAnsi="仿宋" w:eastAsia="仿宋"/>
          <w:color w:val="000000"/>
          <w:spacing w:val="-6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pacing w:val="-6"/>
          <w:sz w:val="32"/>
          <w:szCs w:val="32"/>
        </w:rPr>
        <w:t>附件</w:t>
      </w:r>
      <w:r>
        <w:rPr>
          <w:rFonts w:hint="default" w:ascii="Times New Roman" w:hAnsi="Times New Roman" w:eastAsia="仿宋" w:cs="Times New Roman"/>
          <w:color w:val="000000"/>
          <w:spacing w:val="-6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spacing w:val="-6"/>
          <w:sz w:val="32"/>
          <w:szCs w:val="32"/>
        </w:rPr>
        <w:t>：</w:t>
      </w:r>
    </w:p>
    <w:p w14:paraId="02A3355A">
      <w:pPr>
        <w:jc w:val="center"/>
        <w:rPr>
          <w:rFonts w:ascii="微软雅黑" w:hAnsi="微软雅黑" w:eastAsia="微软雅黑" w:cs="微软雅黑"/>
          <w:color w:val="auto"/>
          <w:sz w:val="32"/>
          <w:szCs w:val="32"/>
          <w:highlight w:val="none"/>
        </w:rPr>
      </w:pPr>
      <w:bookmarkStart w:id="0" w:name="_GoBack"/>
      <w:bookmarkEnd w:id="0"/>
      <w:r>
        <w:rPr>
          <w:rFonts w:hint="default" w:ascii="Times New Roman" w:hAnsi="Times New Roman" w:eastAsia="微软雅黑" w:cs="Times New Roman"/>
          <w:color w:val="auto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微软雅黑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highlight w:val="none"/>
        </w:rPr>
        <w:t>年度考核岗位工作量完成情况及在岗情况统计表</w:t>
      </w:r>
    </w:p>
    <w:p w14:paraId="23FF39D1">
      <w:pPr>
        <w:rPr>
          <w:rFonts w:ascii="仿宋_GB2312" w:hAnsi="宋体" w:eastAsia="仿宋_GB2312"/>
          <w:b/>
          <w:color w:val="auto"/>
          <w:sz w:val="24"/>
          <w:highlight w:val="none"/>
        </w:rPr>
      </w:pPr>
      <w:r>
        <w:rPr>
          <w:rFonts w:hint="eastAsia" w:ascii="仿宋_GB2312" w:hAnsi="宋体" w:eastAsia="仿宋_GB2312"/>
          <w:b/>
          <w:color w:val="auto"/>
          <w:sz w:val="24"/>
          <w:highlight w:val="none"/>
        </w:rPr>
        <w:t>填表人：                         党政负责人：                                单位（公章）：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1072"/>
        <w:gridCol w:w="1072"/>
        <w:gridCol w:w="1072"/>
        <w:gridCol w:w="1072"/>
        <w:gridCol w:w="912"/>
        <w:gridCol w:w="1232"/>
        <w:gridCol w:w="1072"/>
        <w:gridCol w:w="1073"/>
        <w:gridCol w:w="1525"/>
        <w:gridCol w:w="1144"/>
        <w:gridCol w:w="750"/>
        <w:gridCol w:w="1051"/>
      </w:tblGrid>
      <w:tr w14:paraId="7A18B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3C662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姓名</w:t>
            </w:r>
          </w:p>
        </w:tc>
        <w:tc>
          <w:tcPr>
            <w:tcW w:w="2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725C1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主岗位</w:t>
            </w:r>
          </w:p>
          <w:p w14:paraId="5069A325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（执行工资岗位）</w:t>
            </w:r>
          </w:p>
        </w:tc>
        <w:tc>
          <w:tcPr>
            <w:tcW w:w="3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9B14E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兼职岗位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</w:rPr>
              <w:t>（1）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95F23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兼职岗位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</w:rPr>
              <w:t>（2）</w:t>
            </w:r>
          </w:p>
        </w:tc>
        <w:tc>
          <w:tcPr>
            <w:tcW w:w="2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AB672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教学工作量</w:t>
            </w:r>
          </w:p>
          <w:p w14:paraId="5FA5975E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（标时）</w:t>
            </w:r>
          </w:p>
        </w:tc>
        <w:tc>
          <w:tcPr>
            <w:tcW w:w="1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04002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教学建设与教学改革工作量（分）</w:t>
            </w:r>
          </w:p>
        </w:tc>
        <w:tc>
          <w:tcPr>
            <w:tcW w:w="11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B412C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科研工作量（分）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852E2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在岗情况</w:t>
            </w:r>
          </w:p>
        </w:tc>
        <w:tc>
          <w:tcPr>
            <w:tcW w:w="10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A04F9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年度考核结果</w:t>
            </w:r>
          </w:p>
        </w:tc>
      </w:tr>
      <w:tr w14:paraId="3ED14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D49F0">
            <w:pPr>
              <w:widowControl/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A7F29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类别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2106C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级别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E126F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类别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1665D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级别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68E58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职称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6B015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类别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8B6A8">
            <w:pPr>
              <w:ind w:firstLine="105" w:firstLineChars="50"/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教学</w:t>
            </w:r>
          </w:p>
          <w:p w14:paraId="3D87AB0D">
            <w:pPr>
              <w:ind w:left="105" w:leftChars="50"/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任务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462AC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Calibri" w:eastAsia="仿宋_GB2312"/>
                <w:color w:val="auto"/>
                <w:szCs w:val="21"/>
                <w:highlight w:val="none"/>
              </w:rPr>
              <w:t>非教学任 务</w:t>
            </w:r>
          </w:p>
        </w:tc>
        <w:tc>
          <w:tcPr>
            <w:tcW w:w="1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5883F">
            <w:pPr>
              <w:widowControl/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CA500">
            <w:pPr>
              <w:widowControl/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E3896">
            <w:pPr>
              <w:widowControl/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E01E3">
            <w:pPr>
              <w:widowControl/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</w:p>
        </w:tc>
      </w:tr>
      <w:tr w14:paraId="1BA3D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153DF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B288D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AA2DB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8DDEC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963C0C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88F3D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A0D7D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481D4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8D513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6E82F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3940C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55DD2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79669">
            <w:pPr>
              <w:jc w:val="center"/>
              <w:rPr>
                <w:rFonts w:ascii="仿宋_GB2312" w:hAnsi="Calibri" w:eastAsia="仿宋_GB2312"/>
                <w:color w:val="auto"/>
                <w:szCs w:val="21"/>
                <w:highlight w:val="none"/>
              </w:rPr>
            </w:pPr>
          </w:p>
        </w:tc>
      </w:tr>
      <w:tr w14:paraId="0AC32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958F48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186E7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311C8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AC668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FD7F6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4B2FB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A51BC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21191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6AE02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7ECEC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5A81A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BD37C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5EA78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</w:tr>
      <w:tr w14:paraId="429F9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162C0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C50F2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A42C3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255E8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F77CE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C8970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1E1D1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229EE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8E3E4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28A85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6F203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B34F9B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616B5">
            <w:pPr>
              <w:jc w:val="center"/>
              <w:rPr>
                <w:rFonts w:ascii="Calibri" w:hAnsi="Calibri"/>
                <w:color w:val="auto"/>
                <w:highlight w:val="none"/>
              </w:rPr>
            </w:pPr>
          </w:p>
        </w:tc>
      </w:tr>
    </w:tbl>
    <w:p w14:paraId="480B38CB">
      <w:pPr>
        <w:spacing w:line="260" w:lineRule="exact"/>
        <w:rPr>
          <w:rFonts w:ascii="仿宋_GB2312" w:hAnsi="宋体" w:eastAsia="仿宋_GB2312"/>
          <w:color w:val="auto"/>
          <w:szCs w:val="21"/>
          <w:highlight w:val="none"/>
        </w:rPr>
      </w:pPr>
      <w:r>
        <w:rPr>
          <w:rFonts w:hint="eastAsia" w:ascii="仿宋_GB2312" w:hAnsi="宋体" w:eastAsia="仿宋_GB2312"/>
          <w:color w:val="auto"/>
          <w:szCs w:val="21"/>
          <w:highlight w:val="none"/>
        </w:rPr>
        <w:t>注：</w:t>
      </w:r>
      <w:r>
        <w:rPr>
          <w:rFonts w:hint="default" w:ascii="Times New Roman" w:hAnsi="Times New Roman" w:eastAsia="仿宋_GB2312" w:cs="Times New Roman"/>
          <w:color w:val="auto"/>
          <w:szCs w:val="21"/>
          <w:highlight w:val="none"/>
        </w:rPr>
        <w:t>1.</w:t>
      </w:r>
      <w:r>
        <w:rPr>
          <w:rFonts w:hint="eastAsia" w:ascii="仿宋_GB2312" w:hAnsi="宋体" w:eastAsia="仿宋_GB2312"/>
          <w:color w:val="auto"/>
          <w:szCs w:val="21"/>
          <w:highlight w:val="none"/>
        </w:rPr>
        <w:t>主岗位指本人选择执行工资的岗位，类别包括管理岗位、教师专技岗位、其他专技岗位、工勤岗位；级别填写：管理岗位对应填</w:t>
      </w:r>
      <w:r>
        <w:rPr>
          <w:rFonts w:hint="eastAsia" w:ascii="Times New Roman" w:hAnsi="Times New Roman" w:eastAsia="仿宋_GB2312" w:cs="Times New Roman"/>
          <w:color w:val="auto"/>
          <w:szCs w:val="21"/>
          <w:highlight w:val="none"/>
        </w:rPr>
        <w:t>3-10</w:t>
      </w:r>
      <w:r>
        <w:rPr>
          <w:rFonts w:hint="eastAsia" w:ascii="仿宋_GB2312" w:hAnsi="宋体" w:eastAsia="仿宋_GB2312"/>
          <w:color w:val="auto"/>
          <w:szCs w:val="21"/>
          <w:highlight w:val="none"/>
        </w:rPr>
        <w:t>级，专技岗位对应填</w:t>
      </w:r>
      <w:r>
        <w:rPr>
          <w:rFonts w:hint="eastAsia" w:ascii="Times New Roman" w:hAnsi="Times New Roman" w:eastAsia="仿宋_GB2312" w:cs="Times New Roman"/>
          <w:color w:val="auto"/>
          <w:szCs w:val="21"/>
          <w:highlight w:val="none"/>
        </w:rPr>
        <w:t>3-13</w:t>
      </w:r>
      <w:r>
        <w:rPr>
          <w:rFonts w:hint="eastAsia" w:ascii="仿宋_GB2312" w:hAnsi="宋体" w:eastAsia="仿宋_GB2312"/>
          <w:color w:val="auto"/>
          <w:szCs w:val="21"/>
          <w:highlight w:val="none"/>
        </w:rPr>
        <w:t>级，工勤岗位对应填</w:t>
      </w:r>
      <w:r>
        <w:rPr>
          <w:rFonts w:hint="eastAsia" w:ascii="Times New Roman" w:hAnsi="Times New Roman" w:eastAsia="仿宋_GB2312" w:cs="Times New Roman"/>
          <w:color w:val="auto"/>
          <w:szCs w:val="21"/>
          <w:highlight w:val="none"/>
        </w:rPr>
        <w:t>1-5</w:t>
      </w:r>
      <w:r>
        <w:rPr>
          <w:rFonts w:hint="eastAsia" w:ascii="仿宋_GB2312" w:hAnsi="宋体" w:eastAsia="仿宋_GB2312"/>
          <w:color w:val="auto"/>
          <w:szCs w:val="21"/>
          <w:highlight w:val="none"/>
        </w:rPr>
        <w:t>级、普工、大集体。</w:t>
      </w:r>
    </w:p>
    <w:p w14:paraId="6B1CB3B1">
      <w:pPr>
        <w:spacing w:line="260" w:lineRule="exact"/>
        <w:ind w:firstLine="420" w:firstLineChars="200"/>
        <w:rPr>
          <w:rFonts w:ascii="仿宋_GB2312" w:hAnsi="宋体" w:eastAsia="仿宋_GB2312"/>
          <w:color w:val="auto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Cs w:val="21"/>
          <w:highlight w:val="none"/>
        </w:rPr>
        <w:t>2.</w:t>
      </w:r>
      <w:r>
        <w:rPr>
          <w:rFonts w:hint="eastAsia" w:ascii="仿宋_GB2312" w:hAnsi="宋体" w:eastAsia="仿宋_GB2312"/>
          <w:color w:val="auto"/>
          <w:szCs w:val="21"/>
          <w:highlight w:val="none"/>
        </w:rPr>
        <w:t>兼职岗位指在主岗位外兼职其他独立设岗的岗位情况，类别包括管理岗位、教学岗位、兼职辅导员；管理岗位职级填写厅级、处级、科级；职称填写正高、副高、中级、初级。</w:t>
      </w:r>
    </w:p>
    <w:p w14:paraId="1929FD02">
      <w:pPr>
        <w:spacing w:line="260" w:lineRule="exact"/>
        <w:ind w:firstLine="420" w:firstLineChars="200"/>
        <w:rPr>
          <w:rFonts w:ascii="仿宋_GB2312" w:hAnsi="宋体" w:eastAsia="仿宋_GB2312"/>
          <w:color w:val="auto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Cs w:val="21"/>
          <w:highlight w:val="none"/>
        </w:rPr>
        <w:t>3.</w:t>
      </w:r>
      <w:r>
        <w:rPr>
          <w:rFonts w:hint="eastAsia" w:ascii="仿宋_GB2312" w:hAnsi="宋体" w:eastAsia="仿宋_GB2312"/>
          <w:color w:val="auto"/>
          <w:szCs w:val="21"/>
          <w:highlight w:val="none"/>
        </w:rPr>
        <w:t>非教学任务的教学工作量包括兼职岗位的折算工作量、辅导员所带学生数的折算工作量（上下半年学生数不一致的按平均学生数折算）、双肩挑人员管理任务折算的工作量。</w:t>
      </w:r>
    </w:p>
    <w:p w14:paraId="39B0CCD5">
      <w:pPr>
        <w:spacing w:line="260" w:lineRule="exact"/>
        <w:ind w:firstLine="420" w:firstLineChars="200"/>
        <w:rPr>
          <w:rFonts w:ascii="仿宋_GB2312" w:hAnsi="宋体" w:eastAsia="仿宋_GB2312"/>
          <w:color w:val="auto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Cs w:val="21"/>
          <w:highlight w:val="none"/>
        </w:rPr>
        <w:t>4.</w:t>
      </w:r>
      <w:r>
        <w:rPr>
          <w:rFonts w:hint="eastAsia" w:ascii="仿宋_GB2312" w:hAnsi="宋体" w:eastAsia="仿宋_GB2312"/>
          <w:color w:val="auto"/>
          <w:szCs w:val="21"/>
          <w:highlight w:val="none"/>
        </w:rPr>
        <w:t>教学任务工作量、教学建设与教学改革工作量、科研工作量以教务处、科研处最终认定工作量为准。</w:t>
      </w:r>
    </w:p>
    <w:p w14:paraId="06ADD7E1">
      <w:pPr>
        <w:spacing w:line="260" w:lineRule="exact"/>
        <w:ind w:firstLine="420" w:firstLineChars="200"/>
        <w:rPr>
          <w:rFonts w:ascii="Calibri" w:hAnsi="Calibri"/>
          <w:color w:val="auto"/>
          <w:kern w:val="0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Cs w:val="21"/>
          <w:highlight w:val="none"/>
        </w:rPr>
        <w:t>5.</w:t>
      </w:r>
      <w:r>
        <w:rPr>
          <w:rFonts w:hint="eastAsia" w:ascii="仿宋_GB2312" w:hAnsi="Calibri" w:eastAsia="仿宋_GB2312"/>
          <w:color w:val="auto"/>
          <w:highlight w:val="none"/>
        </w:rPr>
        <w:t>本年度在岗情况应据实填写在岗、读博、挂职、病事假、不在岗等情况。</w:t>
      </w:r>
    </w:p>
    <w:p w14:paraId="198B67EF">
      <w:pPr>
        <w:spacing w:line="260" w:lineRule="exact"/>
        <w:ind w:firstLine="420" w:firstLineChars="200"/>
        <w:rPr>
          <w:rFonts w:ascii="Calibri" w:hAnsi="Calibri"/>
          <w:color w:val="auto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Cs w:val="21"/>
          <w:highlight w:val="none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color w:val="auto"/>
          <w:szCs w:val="21"/>
          <w:highlight w:val="none"/>
        </w:rPr>
        <w:t>.</w:t>
      </w:r>
      <w:r>
        <w:rPr>
          <w:rFonts w:hint="eastAsia" w:ascii="仿宋_GB2312" w:hAnsi="宋体" w:eastAsia="仿宋_GB2312"/>
          <w:color w:val="auto"/>
          <w:szCs w:val="21"/>
          <w:highlight w:val="none"/>
        </w:rPr>
        <w:t>审核栏教学单位党政负责人应同时签字并承担责任，职能部门主要负责人签字并承担责任。</w:t>
      </w:r>
    </w:p>
    <w:p w14:paraId="55B23CDE">
      <w:pPr>
        <w:widowControl/>
        <w:ind w:firstLine="420" w:firstLineChars="200"/>
        <w:jc w:val="left"/>
        <w:rPr>
          <w:rFonts w:hint="eastAsia" w:ascii="仿宋_GB2312" w:hAnsi="宋体" w:eastAsia="仿宋_GB2312"/>
          <w:color w:val="auto"/>
          <w:szCs w:val="21"/>
          <w:highlight w:val="none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595FA4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481D176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pVFaAyAgAAZAQAAA4AAABkcnMvZTJvRG9jLnhtbK1UzY7TMBC+I/EO&#10;lu80aRd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lUVoDICAABk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81D176"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9F9111">
    <w:pPr>
      <w:pStyle w:val="7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